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F1975" w14:textId="77777777" w:rsidR="004940B1" w:rsidRDefault="004940B1">
      <w:pPr>
        <w:pBdr>
          <w:top w:val="nil"/>
          <w:left w:val="nil"/>
          <w:bottom w:val="nil"/>
          <w:right w:val="nil"/>
          <w:between w:val="nil"/>
        </w:pBdr>
        <w:spacing w:line="276" w:lineRule="auto"/>
        <w:rPr>
          <w:rFonts w:ascii="Arial" w:eastAsia="Arial" w:hAnsi="Arial" w:cs="Arial"/>
          <w:color w:val="000000"/>
          <w:sz w:val="22"/>
          <w:szCs w:val="22"/>
        </w:rPr>
      </w:pPr>
    </w:p>
    <w:tbl>
      <w:tblPr>
        <w:tblStyle w:val="a"/>
        <w:tblW w:w="974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747"/>
      </w:tblGrid>
      <w:tr w:rsidR="004940B1" w14:paraId="4848BBF4" w14:textId="77777777">
        <w:tc>
          <w:tcPr>
            <w:tcW w:w="9747" w:type="dxa"/>
            <w:shd w:val="clear" w:color="auto" w:fill="E0E0E0"/>
          </w:tcPr>
          <w:p w14:paraId="3820401F" w14:textId="77777777" w:rsidR="004940B1" w:rsidRDefault="004F305C">
            <w:pPr>
              <w:spacing w:before="120" w:after="120"/>
              <w:rPr>
                <w:sz w:val="24"/>
                <w:szCs w:val="24"/>
              </w:rPr>
            </w:pPr>
            <w:r>
              <w:rPr>
                <w:b/>
                <w:sz w:val="24"/>
                <w:szCs w:val="24"/>
              </w:rPr>
              <w:t xml:space="preserve">Standard </w:t>
            </w:r>
            <w:bookmarkStart w:id="0" w:name="_GoBack"/>
            <w:r>
              <w:rPr>
                <w:b/>
                <w:sz w:val="24"/>
                <w:szCs w:val="24"/>
              </w:rPr>
              <w:t>6</w:t>
            </w:r>
            <w:bookmarkEnd w:id="0"/>
            <w:r>
              <w:rPr>
                <w:b/>
                <w:sz w:val="24"/>
                <w:szCs w:val="24"/>
              </w:rPr>
              <w:t>: The study program quality, actuality and international character</w:t>
            </w:r>
          </w:p>
        </w:tc>
      </w:tr>
      <w:tr w:rsidR="004940B1" w14:paraId="2EE2C03E" w14:textId="77777777">
        <w:tc>
          <w:tcPr>
            <w:tcW w:w="9747" w:type="dxa"/>
          </w:tcPr>
          <w:p w14:paraId="295F5F8D" w14:textId="77777777" w:rsidR="004940B1" w:rsidRDefault="004F305C">
            <w:pPr>
              <w:spacing w:after="280"/>
              <w:jc w:val="both"/>
              <w:rPr>
                <w:sz w:val="24"/>
                <w:szCs w:val="24"/>
              </w:rPr>
            </w:pPr>
            <w:r>
              <w:rPr>
                <w:sz w:val="24"/>
                <w:szCs w:val="24"/>
              </w:rPr>
              <w:t xml:space="preserve">The quality and actuality of the study program </w:t>
            </w:r>
            <w:r>
              <w:rPr>
                <w:b/>
                <w:sz w:val="24"/>
                <w:szCs w:val="24"/>
              </w:rPr>
              <w:t xml:space="preserve">Advanced Data Analytics </w:t>
            </w:r>
            <w:r>
              <w:rPr>
                <w:sz w:val="24"/>
                <w:szCs w:val="24"/>
              </w:rPr>
              <w:t>at the University of Belgrade are based on:</w:t>
            </w:r>
          </w:p>
          <w:p w14:paraId="4AE16AE1" w14:textId="77777777" w:rsidR="004940B1" w:rsidRDefault="004F305C">
            <w:pPr>
              <w:widowControl/>
              <w:numPr>
                <w:ilvl w:val="0"/>
                <w:numId w:val="1"/>
              </w:numPr>
              <w:pBdr>
                <w:top w:val="nil"/>
                <w:left w:val="nil"/>
                <w:bottom w:val="nil"/>
                <w:right w:val="nil"/>
                <w:between w:val="nil"/>
              </w:pBdr>
              <w:spacing w:before="280"/>
              <w:jc w:val="both"/>
              <w:rPr>
                <w:color w:val="000000"/>
                <w:sz w:val="24"/>
                <w:szCs w:val="24"/>
              </w:rPr>
            </w:pPr>
            <w:r>
              <w:rPr>
                <w:i/>
                <w:color w:val="000000"/>
                <w:sz w:val="24"/>
                <w:szCs w:val="24"/>
              </w:rPr>
              <w:t>Recommendations of the world’s most influential professional organizations in the field of data analytics</w:t>
            </w:r>
            <w:r>
              <w:rPr>
                <w:sz w:val="24"/>
                <w:szCs w:val="24"/>
              </w:rPr>
              <w:t xml:space="preserve">, </w:t>
            </w:r>
            <w:r>
              <w:rPr>
                <w:color w:val="000000"/>
                <w:sz w:val="24"/>
                <w:szCs w:val="24"/>
              </w:rPr>
              <w:t xml:space="preserve">such as </w:t>
            </w:r>
            <w:hyperlink r:id="rId5">
              <w:r>
                <w:rPr>
                  <w:color w:val="0000FF"/>
                  <w:sz w:val="24"/>
                  <w:szCs w:val="24"/>
                  <w:u w:val="single"/>
                </w:rPr>
                <w:t>AAi: Advanced Analytics Institute</w:t>
              </w:r>
            </w:hyperlink>
            <w:r>
              <w:rPr>
                <w:color w:val="000000"/>
                <w:sz w:val="24"/>
                <w:szCs w:val="24"/>
              </w:rPr>
              <w:t xml:space="preserve">, </w:t>
            </w:r>
            <w:hyperlink r:id="rId6">
              <w:r>
                <w:rPr>
                  <w:color w:val="0000FF"/>
                  <w:sz w:val="24"/>
                  <w:szCs w:val="24"/>
                  <w:u w:val="single"/>
                </w:rPr>
                <w:t>Interna</w:t>
              </w:r>
              <w:r>
                <w:rPr>
                  <w:color w:val="0000FF"/>
                  <w:sz w:val="24"/>
                  <w:szCs w:val="24"/>
                  <w:u w:val="single"/>
                </w:rPr>
                <w:t>tional Institute for Analytics</w:t>
              </w:r>
            </w:hyperlink>
            <w:r>
              <w:rPr>
                <w:color w:val="000000"/>
                <w:sz w:val="24"/>
                <w:szCs w:val="24"/>
              </w:rPr>
              <w:t xml:space="preserve">, </w:t>
            </w:r>
            <w:hyperlink r:id="rId7">
              <w:r>
                <w:rPr>
                  <w:color w:val="0000FF"/>
                  <w:sz w:val="24"/>
                  <w:szCs w:val="24"/>
                  <w:u w:val="single"/>
                </w:rPr>
                <w:t>Data Science Central</w:t>
              </w:r>
            </w:hyperlink>
            <w:r>
              <w:rPr>
                <w:color w:val="000000"/>
                <w:sz w:val="24"/>
                <w:szCs w:val="24"/>
              </w:rPr>
              <w:t xml:space="preserve">, </w:t>
            </w:r>
            <w:hyperlink r:id="rId8">
              <w:r>
                <w:rPr>
                  <w:color w:val="0000FF"/>
                  <w:sz w:val="24"/>
                  <w:szCs w:val="24"/>
                  <w:u w:val="single"/>
                </w:rPr>
                <w:t>American Statistical Association (ASA)</w:t>
              </w:r>
            </w:hyperlink>
            <w:r>
              <w:rPr>
                <w:color w:val="000000"/>
                <w:sz w:val="24"/>
                <w:szCs w:val="24"/>
              </w:rPr>
              <w:t xml:space="preserve">, and the like (see </w:t>
            </w:r>
            <w:hyperlink r:id="rId9">
              <w:r>
                <w:rPr>
                  <w:color w:val="0000FF"/>
                  <w:sz w:val="24"/>
                  <w:szCs w:val="24"/>
                  <w:u w:val="single"/>
                </w:rPr>
                <w:t>https://www.kdnuggets.com/websites/societies.html</w:t>
              </w:r>
            </w:hyperlink>
            <w:r>
              <w:rPr>
                <w:color w:val="000000"/>
                <w:sz w:val="24"/>
                <w:szCs w:val="24"/>
              </w:rPr>
              <w:t>).</w:t>
            </w:r>
            <w:r>
              <w:rPr>
                <w:sz w:val="24"/>
                <w:szCs w:val="24"/>
              </w:rPr>
              <w:t xml:space="preserve"> </w:t>
            </w:r>
            <w:r>
              <w:rPr>
                <w:color w:val="000000"/>
                <w:sz w:val="24"/>
                <w:szCs w:val="24"/>
              </w:rPr>
              <w:t xml:space="preserve">Special attention has been given to organizations focused on practitioners and practical projects (e.g., </w:t>
            </w:r>
            <w:hyperlink r:id="rId10">
              <w:r>
                <w:rPr>
                  <w:color w:val="0000FF"/>
                  <w:sz w:val="24"/>
                  <w:szCs w:val="24"/>
                  <w:u w:val="single"/>
                </w:rPr>
                <w:t>Data Science Central</w:t>
              </w:r>
            </w:hyperlink>
            <w:r>
              <w:rPr>
                <w:color w:val="000000"/>
                <w:sz w:val="24"/>
                <w:szCs w:val="24"/>
              </w:rPr>
              <w:t>)</w:t>
            </w:r>
            <w:r>
              <w:rPr>
                <w:sz w:val="24"/>
                <w:szCs w:val="24"/>
              </w:rPr>
              <w:t>. Appendices 6.1-6.4 provide more details</w:t>
            </w:r>
            <w:r>
              <w:rPr>
                <w:color w:val="000000"/>
                <w:sz w:val="24"/>
                <w:szCs w:val="24"/>
              </w:rPr>
              <w:t>.</w:t>
            </w:r>
          </w:p>
          <w:p w14:paraId="44CE1E97" w14:textId="77777777" w:rsidR="004940B1" w:rsidRDefault="004F305C">
            <w:pPr>
              <w:widowControl/>
              <w:numPr>
                <w:ilvl w:val="0"/>
                <w:numId w:val="2"/>
              </w:numPr>
              <w:pBdr>
                <w:top w:val="nil"/>
                <w:left w:val="nil"/>
                <w:bottom w:val="nil"/>
                <w:right w:val="nil"/>
                <w:between w:val="nil"/>
              </w:pBdr>
              <w:ind w:hanging="357"/>
              <w:jc w:val="both"/>
              <w:rPr>
                <w:color w:val="000000"/>
                <w:sz w:val="24"/>
                <w:szCs w:val="24"/>
              </w:rPr>
            </w:pPr>
            <w:r>
              <w:rPr>
                <w:i/>
                <w:color w:val="000000"/>
                <w:sz w:val="24"/>
                <w:szCs w:val="24"/>
              </w:rPr>
              <w:t xml:space="preserve">Compliance with similar programs. </w:t>
            </w:r>
            <w:r>
              <w:rPr>
                <w:color w:val="000000"/>
                <w:sz w:val="24"/>
                <w:szCs w:val="24"/>
              </w:rPr>
              <w:t>This study program is very similar to master programs in data analytics at various universities in Europe and elsewhere in the world. Starting from the analytical approach to this topic published by experts from Park City Math Institute (</w:t>
            </w:r>
            <w:hyperlink r:id="rId11">
              <w:r>
                <w:rPr>
                  <w:color w:val="0000FF"/>
                  <w:sz w:val="24"/>
                  <w:szCs w:val="24"/>
                  <w:u w:val="single"/>
                </w:rPr>
                <w:t>https://www.stat.berkeley.edu/~nolan/Papers/Data.Science.Guidelines.16.9.25.pdf</w:t>
              </w:r>
            </w:hyperlink>
            <w:r>
              <w:rPr>
                <w:color w:val="000000"/>
                <w:sz w:val="24"/>
                <w:szCs w:val="24"/>
              </w:rPr>
              <w:t>) and Stanford University (</w:t>
            </w:r>
            <w:hyperlink r:id="rId12">
              <w:r>
                <w:rPr>
                  <w:color w:val="0000FF"/>
                  <w:sz w:val="24"/>
                  <w:szCs w:val="24"/>
                  <w:u w:val="single"/>
                </w:rPr>
                <w:t>https:/</w:t>
              </w:r>
              <w:r>
                <w:rPr>
                  <w:color w:val="0000FF"/>
                  <w:sz w:val="24"/>
                  <w:szCs w:val="24"/>
                  <w:u w:val="single"/>
                </w:rPr>
                <w:t>/iriss.stanford.edu/css/certificate</w:t>
              </w:r>
            </w:hyperlink>
            <w:r>
              <w:rPr>
                <w:color w:val="000000"/>
                <w:sz w:val="24"/>
                <w:szCs w:val="24"/>
              </w:rPr>
              <w:t xml:space="preserve">), some exemplary study programs in Europe for developing the </w:t>
            </w:r>
            <w:r>
              <w:rPr>
                <w:b/>
                <w:color w:val="000000"/>
                <w:sz w:val="24"/>
                <w:szCs w:val="24"/>
              </w:rPr>
              <w:t>Advanced Data Analytics</w:t>
            </w:r>
            <w:r>
              <w:rPr>
                <w:color w:val="000000"/>
                <w:sz w:val="24"/>
                <w:szCs w:val="24"/>
              </w:rPr>
              <w:t xml:space="preserve"> program have been:</w:t>
            </w:r>
          </w:p>
          <w:p w14:paraId="3278736D" w14:textId="77777777" w:rsidR="004940B1" w:rsidRDefault="004F305C">
            <w:pPr>
              <w:widowControl/>
              <w:numPr>
                <w:ilvl w:val="1"/>
                <w:numId w:val="2"/>
              </w:numPr>
              <w:pBdr>
                <w:top w:val="nil"/>
                <w:left w:val="nil"/>
                <w:bottom w:val="nil"/>
                <w:right w:val="nil"/>
                <w:between w:val="nil"/>
              </w:pBdr>
              <w:ind w:hanging="357"/>
              <w:jc w:val="both"/>
              <w:rPr>
                <w:color w:val="0000FF"/>
                <w:sz w:val="24"/>
                <w:szCs w:val="24"/>
              </w:rPr>
            </w:pPr>
            <w:hyperlink r:id="rId13">
              <w:r>
                <w:rPr>
                  <w:color w:val="0000FF"/>
                  <w:sz w:val="24"/>
                  <w:szCs w:val="24"/>
                  <w:u w:val="single"/>
                </w:rPr>
                <w:t>http://www.lse.ac.uk/study-at-lse/Graduate/Degree-programmes-2019/MSc-Data-Science</w:t>
              </w:r>
            </w:hyperlink>
            <w:r>
              <w:rPr>
                <w:color w:val="000000"/>
                <w:sz w:val="24"/>
                <w:szCs w:val="24"/>
              </w:rPr>
              <w:t xml:space="preserve"> </w:t>
            </w:r>
          </w:p>
          <w:p w14:paraId="51F0FE01" w14:textId="77777777" w:rsidR="004940B1" w:rsidRDefault="004F305C">
            <w:pPr>
              <w:widowControl/>
              <w:numPr>
                <w:ilvl w:val="1"/>
                <w:numId w:val="2"/>
              </w:numPr>
              <w:pBdr>
                <w:top w:val="nil"/>
                <w:left w:val="nil"/>
                <w:bottom w:val="nil"/>
                <w:right w:val="nil"/>
                <w:between w:val="nil"/>
              </w:pBdr>
              <w:ind w:hanging="357"/>
              <w:jc w:val="both"/>
              <w:rPr>
                <w:color w:val="0000FF"/>
                <w:sz w:val="24"/>
                <w:szCs w:val="24"/>
              </w:rPr>
            </w:pPr>
            <w:hyperlink r:id="rId14">
              <w:r>
                <w:rPr>
                  <w:color w:val="0000FF"/>
                  <w:sz w:val="24"/>
                  <w:szCs w:val="24"/>
                  <w:u w:val="single"/>
                </w:rPr>
                <w:t>https://www.epfl.ch/schools/ic/education/master/data-science/</w:t>
              </w:r>
            </w:hyperlink>
          </w:p>
          <w:p w14:paraId="254D4B4D" w14:textId="77777777" w:rsidR="004940B1" w:rsidRDefault="004F305C">
            <w:pPr>
              <w:widowControl/>
              <w:numPr>
                <w:ilvl w:val="1"/>
                <w:numId w:val="2"/>
              </w:numPr>
              <w:pBdr>
                <w:top w:val="nil"/>
                <w:left w:val="nil"/>
                <w:bottom w:val="nil"/>
                <w:right w:val="nil"/>
                <w:between w:val="nil"/>
              </w:pBdr>
              <w:spacing w:after="280"/>
              <w:jc w:val="both"/>
              <w:rPr>
                <w:color w:val="0000FF"/>
                <w:sz w:val="24"/>
                <w:szCs w:val="24"/>
              </w:rPr>
            </w:pPr>
            <w:hyperlink r:id="rId15">
              <w:r>
                <w:rPr>
                  <w:color w:val="0000FF"/>
                  <w:sz w:val="24"/>
                  <w:szCs w:val="24"/>
                  <w:u w:val="single"/>
                </w:rPr>
                <w:t>http://eisti.fr/en/international/international-master-big-data</w:t>
              </w:r>
            </w:hyperlink>
          </w:p>
          <w:p w14:paraId="214E81C5" w14:textId="77777777" w:rsidR="004940B1" w:rsidRDefault="004F305C">
            <w:pPr>
              <w:pBdr>
                <w:top w:val="nil"/>
                <w:left w:val="nil"/>
                <w:bottom w:val="nil"/>
                <w:right w:val="nil"/>
                <w:between w:val="nil"/>
              </w:pBdr>
              <w:spacing w:after="280"/>
              <w:jc w:val="both"/>
              <w:rPr>
                <w:color w:val="0000FF"/>
                <w:sz w:val="24"/>
                <w:szCs w:val="24"/>
                <w:u w:val="single"/>
              </w:rPr>
            </w:pPr>
            <w:r>
              <w:rPr>
                <w:sz w:val="24"/>
                <w:szCs w:val="24"/>
              </w:rPr>
              <w:t>In</w:t>
            </w:r>
            <w:r>
              <w:rPr>
                <w:sz w:val="24"/>
                <w:szCs w:val="24"/>
              </w:rPr>
              <w:t xml:space="preserve"> addition, other study programs in data analytics offered by different universities in Europe (see </w:t>
            </w:r>
            <w:hyperlink r:id="rId16">
              <w:r>
                <w:rPr>
                  <w:color w:val="0000FF"/>
                  <w:sz w:val="24"/>
                  <w:szCs w:val="24"/>
                  <w:u w:val="single"/>
                </w:rPr>
                <w:t>https://www.kdnuggets.com/2017/12/best-masters-data-scie</w:t>
              </w:r>
              <w:r>
                <w:rPr>
                  <w:color w:val="0000FF"/>
                  <w:sz w:val="24"/>
                  <w:szCs w:val="24"/>
                  <w:u w:val="single"/>
                </w:rPr>
                <w:t>nce-analytics-europe.html</w:t>
              </w:r>
            </w:hyperlink>
            <w:r>
              <w:rPr>
                <w:sz w:val="24"/>
                <w:szCs w:val="24"/>
              </w:rPr>
              <w:t xml:space="preserve">) and elsewhere in the world have also been taken into account, since they have a very rich offer in application-oriented courses and the </w:t>
            </w:r>
            <w:r>
              <w:rPr>
                <w:b/>
                <w:sz w:val="24"/>
                <w:szCs w:val="24"/>
              </w:rPr>
              <w:t>Advanced Data Analytics</w:t>
            </w:r>
            <w:r>
              <w:rPr>
                <w:sz w:val="24"/>
                <w:szCs w:val="24"/>
              </w:rPr>
              <w:t xml:space="preserve"> program wanted to build on their experiences</w:t>
            </w:r>
            <w:r>
              <w:rPr>
                <w:sz w:val="24"/>
                <w:szCs w:val="24"/>
              </w:rPr>
              <w:t xml:space="preserve"> (</w:t>
            </w:r>
            <w:r>
              <w:rPr>
                <w:sz w:val="24"/>
                <w:szCs w:val="24"/>
              </w:rPr>
              <w:t xml:space="preserve">see </w:t>
            </w:r>
            <w:r>
              <w:rPr>
                <w:sz w:val="24"/>
                <w:szCs w:val="24"/>
              </w:rPr>
              <w:t>Appendices 6.1-6.4)</w:t>
            </w:r>
            <w:r>
              <w:rPr>
                <w:sz w:val="24"/>
                <w:szCs w:val="24"/>
              </w:rPr>
              <w:t>.</w:t>
            </w:r>
          </w:p>
          <w:p w14:paraId="5BD53044" w14:textId="77777777" w:rsidR="004940B1" w:rsidRDefault="004F305C">
            <w:pPr>
              <w:widowControl/>
              <w:numPr>
                <w:ilvl w:val="0"/>
                <w:numId w:val="2"/>
              </w:numPr>
              <w:pBdr>
                <w:top w:val="nil"/>
                <w:left w:val="nil"/>
                <w:bottom w:val="nil"/>
                <w:right w:val="nil"/>
                <w:between w:val="nil"/>
              </w:pBdr>
              <w:jc w:val="both"/>
              <w:rPr>
                <w:color w:val="000000"/>
                <w:sz w:val="24"/>
                <w:szCs w:val="24"/>
              </w:rPr>
            </w:pPr>
            <w:r>
              <w:rPr>
                <w:i/>
                <w:color w:val="000000"/>
                <w:sz w:val="24"/>
                <w:szCs w:val="24"/>
              </w:rPr>
              <w:t xml:space="preserve">Orientation towards the continuous improvement. </w:t>
            </w:r>
            <w:r>
              <w:rPr>
                <w:sz w:val="24"/>
                <w:szCs w:val="24"/>
              </w:rPr>
              <w:t>T</w:t>
            </w:r>
            <w:r>
              <w:rPr>
                <w:color w:val="000000"/>
                <w:sz w:val="24"/>
                <w:szCs w:val="24"/>
              </w:rPr>
              <w:t>he content of each course has to be updated on a yearly basis, in order to follow the rapid development of the field.</w:t>
            </w:r>
          </w:p>
          <w:p w14:paraId="1CA98868" w14:textId="77777777" w:rsidR="004940B1" w:rsidRDefault="004F305C">
            <w:pPr>
              <w:widowControl/>
              <w:numPr>
                <w:ilvl w:val="0"/>
                <w:numId w:val="2"/>
              </w:numPr>
              <w:pBdr>
                <w:top w:val="nil"/>
                <w:left w:val="nil"/>
                <w:bottom w:val="nil"/>
                <w:right w:val="nil"/>
                <w:between w:val="nil"/>
              </w:pBdr>
              <w:spacing w:after="200"/>
              <w:jc w:val="both"/>
              <w:rPr>
                <w:color w:val="000000"/>
                <w:sz w:val="24"/>
                <w:szCs w:val="24"/>
              </w:rPr>
            </w:pPr>
            <w:r>
              <w:rPr>
                <w:i/>
                <w:sz w:val="24"/>
                <w:szCs w:val="24"/>
              </w:rPr>
              <w:t>A</w:t>
            </w:r>
            <w:r>
              <w:rPr>
                <w:i/>
                <w:color w:val="000000"/>
                <w:sz w:val="24"/>
                <w:szCs w:val="24"/>
              </w:rPr>
              <w:t>djust</w:t>
            </w:r>
            <w:r>
              <w:rPr>
                <w:i/>
                <w:sz w:val="24"/>
                <w:szCs w:val="24"/>
              </w:rPr>
              <w:t>ment</w:t>
            </w:r>
            <w:r>
              <w:rPr>
                <w:i/>
                <w:color w:val="000000"/>
                <w:sz w:val="24"/>
                <w:szCs w:val="24"/>
              </w:rPr>
              <w:t xml:space="preserve"> with European standards</w:t>
            </w:r>
            <w:r>
              <w:rPr>
                <w:color w:val="000000"/>
                <w:sz w:val="24"/>
                <w:szCs w:val="24"/>
              </w:rPr>
              <w:t xml:space="preserve"> in </w:t>
            </w:r>
            <w:r>
              <w:rPr>
                <w:sz w:val="24"/>
                <w:szCs w:val="24"/>
              </w:rPr>
              <w:t xml:space="preserve">terms </w:t>
            </w:r>
            <w:r>
              <w:rPr>
                <w:color w:val="000000"/>
                <w:sz w:val="24"/>
                <w:szCs w:val="24"/>
              </w:rPr>
              <w:t>of enrolment conditions, continuity of study, the degree earned and the way of studying.</w:t>
            </w:r>
          </w:p>
        </w:tc>
      </w:tr>
      <w:tr w:rsidR="004940B1" w14:paraId="201AEA72" w14:textId="77777777">
        <w:tc>
          <w:tcPr>
            <w:tcW w:w="9747" w:type="dxa"/>
          </w:tcPr>
          <w:p w14:paraId="4BF5E8C8" w14:textId="77777777" w:rsidR="004940B1" w:rsidRDefault="004F305C">
            <w:pPr>
              <w:spacing w:before="120"/>
              <w:rPr>
                <w:sz w:val="24"/>
                <w:szCs w:val="24"/>
              </w:rPr>
            </w:pPr>
            <w:bookmarkStart w:id="1" w:name="_gjdgxs" w:colFirst="0" w:colLast="0"/>
            <w:bookmarkEnd w:id="1"/>
            <w:proofErr w:type="spellStart"/>
            <w:r>
              <w:rPr>
                <w:b/>
                <w:sz w:val="24"/>
                <w:szCs w:val="24"/>
              </w:rPr>
              <w:t>Прилог</w:t>
            </w:r>
            <w:proofErr w:type="spellEnd"/>
            <w:r>
              <w:rPr>
                <w:b/>
                <w:sz w:val="24"/>
                <w:szCs w:val="24"/>
              </w:rPr>
              <w:t xml:space="preserve"> 6.1,2,3: </w:t>
            </w:r>
            <w:hyperlink r:id="rId17">
              <w:proofErr w:type="spellStart"/>
              <w:r>
                <w:rPr>
                  <w:color w:val="0000FF"/>
                  <w:sz w:val="24"/>
                  <w:szCs w:val="24"/>
                  <w:u w:val="single"/>
                </w:rPr>
                <w:t>Документација</w:t>
              </w:r>
              <w:proofErr w:type="spellEnd"/>
              <w:r>
                <w:rPr>
                  <w:color w:val="0000FF"/>
                  <w:sz w:val="24"/>
                  <w:szCs w:val="24"/>
                  <w:u w:val="single"/>
                </w:rPr>
                <w:t xml:space="preserve"> о </w:t>
              </w:r>
              <w:proofErr w:type="spellStart"/>
              <w:r>
                <w:rPr>
                  <w:color w:val="0000FF"/>
                  <w:sz w:val="24"/>
                  <w:szCs w:val="24"/>
                  <w:u w:val="single"/>
                </w:rPr>
                <w:t>најмање</w:t>
              </w:r>
              <w:proofErr w:type="spellEnd"/>
              <w:r>
                <w:rPr>
                  <w:color w:val="0000FF"/>
                  <w:sz w:val="24"/>
                  <w:szCs w:val="24"/>
                  <w:u w:val="single"/>
                </w:rPr>
                <w:t xml:space="preserve"> </w:t>
              </w:r>
              <w:proofErr w:type="spellStart"/>
              <w:r>
                <w:rPr>
                  <w:color w:val="0000FF"/>
                  <w:sz w:val="24"/>
                  <w:szCs w:val="24"/>
                  <w:u w:val="single"/>
                </w:rPr>
                <w:t>три</w:t>
              </w:r>
              <w:proofErr w:type="spellEnd"/>
              <w:r>
                <w:rPr>
                  <w:color w:val="0000FF"/>
                  <w:sz w:val="24"/>
                  <w:szCs w:val="24"/>
                  <w:u w:val="single"/>
                </w:rPr>
                <w:t xml:space="preserve"> </w:t>
              </w:r>
              <w:proofErr w:type="spellStart"/>
              <w:r>
                <w:rPr>
                  <w:color w:val="0000FF"/>
                  <w:sz w:val="24"/>
                  <w:szCs w:val="24"/>
                  <w:u w:val="single"/>
                </w:rPr>
                <w:t>акредитована</w:t>
              </w:r>
              <w:proofErr w:type="spellEnd"/>
              <w:r>
                <w:rPr>
                  <w:color w:val="0000FF"/>
                  <w:sz w:val="24"/>
                  <w:szCs w:val="24"/>
                  <w:u w:val="single"/>
                </w:rPr>
                <w:t xml:space="preserve"> </w:t>
              </w:r>
              <w:proofErr w:type="spellStart"/>
              <w:r>
                <w:rPr>
                  <w:color w:val="0000FF"/>
                  <w:sz w:val="24"/>
                  <w:szCs w:val="24"/>
                  <w:u w:val="single"/>
                </w:rPr>
                <w:t>инострана</w:t>
              </w:r>
              <w:proofErr w:type="spellEnd"/>
              <w:r>
                <w:rPr>
                  <w:color w:val="0000FF"/>
                  <w:sz w:val="24"/>
                  <w:szCs w:val="24"/>
                  <w:u w:val="single"/>
                </w:rPr>
                <w:t xml:space="preserve"> </w:t>
              </w:r>
              <w:proofErr w:type="spellStart"/>
              <w:r>
                <w:rPr>
                  <w:color w:val="0000FF"/>
                  <w:sz w:val="24"/>
                  <w:szCs w:val="24"/>
                  <w:u w:val="single"/>
                </w:rPr>
                <w:t>програма</w:t>
              </w:r>
              <w:proofErr w:type="spellEnd"/>
              <w:r>
                <w:rPr>
                  <w:color w:val="0000FF"/>
                  <w:sz w:val="24"/>
                  <w:szCs w:val="24"/>
                  <w:u w:val="single"/>
                </w:rPr>
                <w:t xml:space="preserve">, </w:t>
              </w:r>
              <w:proofErr w:type="spellStart"/>
              <w:r>
                <w:rPr>
                  <w:color w:val="0000FF"/>
                  <w:sz w:val="24"/>
                  <w:szCs w:val="24"/>
                  <w:u w:val="single"/>
                </w:rPr>
                <w:t>са</w:t>
              </w:r>
              <w:proofErr w:type="spellEnd"/>
              <w:r>
                <w:rPr>
                  <w:color w:val="0000FF"/>
                  <w:sz w:val="24"/>
                  <w:szCs w:val="24"/>
                  <w:u w:val="single"/>
                </w:rPr>
                <w:t xml:space="preserve"> </w:t>
              </w:r>
              <w:proofErr w:type="spellStart"/>
              <w:r>
                <w:rPr>
                  <w:color w:val="0000FF"/>
                  <w:sz w:val="24"/>
                  <w:szCs w:val="24"/>
                  <w:u w:val="single"/>
                </w:rPr>
                <w:t>којим</w:t>
              </w:r>
              <w:proofErr w:type="spellEnd"/>
              <w:r>
                <w:rPr>
                  <w:color w:val="0000FF"/>
                  <w:sz w:val="24"/>
                  <w:szCs w:val="24"/>
                  <w:u w:val="single"/>
                </w:rPr>
                <w:t xml:space="preserve"> </w:t>
              </w:r>
              <w:proofErr w:type="spellStart"/>
              <w:r>
                <w:rPr>
                  <w:color w:val="0000FF"/>
                  <w:sz w:val="24"/>
                  <w:szCs w:val="24"/>
                  <w:u w:val="single"/>
                </w:rPr>
                <w:t>је</w:t>
              </w:r>
              <w:proofErr w:type="spellEnd"/>
              <w:r>
                <w:rPr>
                  <w:color w:val="0000FF"/>
                  <w:sz w:val="24"/>
                  <w:szCs w:val="24"/>
                  <w:u w:val="single"/>
                </w:rPr>
                <w:t xml:space="preserve"> </w:t>
              </w:r>
              <w:proofErr w:type="spellStart"/>
              <w:r>
                <w:rPr>
                  <w:color w:val="0000FF"/>
                  <w:sz w:val="24"/>
                  <w:szCs w:val="24"/>
                  <w:u w:val="single"/>
                </w:rPr>
                <w:t>програм</w:t>
              </w:r>
              <w:proofErr w:type="spellEnd"/>
              <w:r>
                <w:rPr>
                  <w:color w:val="0000FF"/>
                  <w:sz w:val="24"/>
                  <w:szCs w:val="24"/>
                  <w:u w:val="single"/>
                </w:rPr>
                <w:t xml:space="preserve"> </w:t>
              </w:r>
              <w:proofErr w:type="spellStart"/>
              <w:r>
                <w:rPr>
                  <w:color w:val="0000FF"/>
                  <w:sz w:val="24"/>
                  <w:szCs w:val="24"/>
                  <w:u w:val="single"/>
                </w:rPr>
                <w:t>усклађен</w:t>
              </w:r>
              <w:proofErr w:type="spellEnd"/>
            </w:hyperlink>
            <w:r>
              <w:rPr>
                <w:b/>
                <w:sz w:val="24"/>
                <w:szCs w:val="24"/>
              </w:rPr>
              <w:t xml:space="preserve"> </w:t>
            </w:r>
          </w:p>
          <w:p w14:paraId="33F02DD4" w14:textId="77777777" w:rsidR="004940B1" w:rsidRDefault="004F305C">
            <w:pPr>
              <w:spacing w:after="120"/>
              <w:rPr>
                <w:sz w:val="24"/>
                <w:szCs w:val="24"/>
              </w:rPr>
            </w:pPr>
            <w:proofErr w:type="spellStart"/>
            <w:r>
              <w:rPr>
                <w:b/>
                <w:sz w:val="24"/>
                <w:szCs w:val="24"/>
              </w:rPr>
              <w:t>Прилог</w:t>
            </w:r>
            <w:proofErr w:type="spellEnd"/>
            <w:r>
              <w:rPr>
                <w:b/>
                <w:sz w:val="24"/>
                <w:szCs w:val="24"/>
              </w:rPr>
              <w:t xml:space="preserve"> 6.4: </w:t>
            </w:r>
            <w:hyperlink r:id="rId18">
              <w:proofErr w:type="spellStart"/>
              <w:r>
                <w:rPr>
                  <w:color w:val="0000FF"/>
                  <w:sz w:val="24"/>
                  <w:szCs w:val="24"/>
                  <w:u w:val="single"/>
                </w:rPr>
                <w:t>Препоруке</w:t>
              </w:r>
              <w:proofErr w:type="spellEnd"/>
              <w:r>
                <w:rPr>
                  <w:color w:val="0000FF"/>
                  <w:sz w:val="24"/>
                  <w:szCs w:val="24"/>
                  <w:u w:val="single"/>
                </w:rPr>
                <w:t xml:space="preserve"> </w:t>
              </w:r>
              <w:proofErr w:type="spellStart"/>
              <w:r>
                <w:rPr>
                  <w:color w:val="0000FF"/>
                  <w:sz w:val="24"/>
                  <w:szCs w:val="24"/>
                  <w:u w:val="single"/>
                </w:rPr>
                <w:t>или</w:t>
              </w:r>
              <w:proofErr w:type="spellEnd"/>
              <w:r>
                <w:rPr>
                  <w:color w:val="0000FF"/>
                  <w:sz w:val="24"/>
                  <w:szCs w:val="24"/>
                  <w:u w:val="single"/>
                </w:rPr>
                <w:t xml:space="preserve"> </w:t>
              </w:r>
              <w:proofErr w:type="spellStart"/>
              <w:r>
                <w:rPr>
                  <w:color w:val="0000FF"/>
                  <w:sz w:val="24"/>
                  <w:szCs w:val="24"/>
                  <w:u w:val="single"/>
                </w:rPr>
                <w:t>усклађеност</w:t>
              </w:r>
              <w:proofErr w:type="spellEnd"/>
              <w:r>
                <w:rPr>
                  <w:color w:val="0000FF"/>
                  <w:sz w:val="24"/>
                  <w:szCs w:val="24"/>
                  <w:u w:val="single"/>
                </w:rPr>
                <w:t xml:space="preserve"> </w:t>
              </w:r>
              <w:proofErr w:type="spellStart"/>
              <w:r>
                <w:rPr>
                  <w:color w:val="0000FF"/>
                  <w:sz w:val="24"/>
                  <w:szCs w:val="24"/>
                  <w:u w:val="single"/>
                </w:rPr>
                <w:t>са</w:t>
              </w:r>
              <w:proofErr w:type="spellEnd"/>
              <w:r>
                <w:rPr>
                  <w:color w:val="0000FF"/>
                  <w:sz w:val="24"/>
                  <w:szCs w:val="24"/>
                  <w:u w:val="single"/>
                </w:rPr>
                <w:t xml:space="preserve"> </w:t>
              </w:r>
              <w:proofErr w:type="spellStart"/>
              <w:r>
                <w:rPr>
                  <w:color w:val="0000FF"/>
                  <w:sz w:val="24"/>
                  <w:szCs w:val="24"/>
                  <w:u w:val="single"/>
                </w:rPr>
                <w:t>одговарајућим</w:t>
              </w:r>
              <w:proofErr w:type="spellEnd"/>
              <w:r>
                <w:rPr>
                  <w:color w:val="0000FF"/>
                  <w:sz w:val="24"/>
                  <w:szCs w:val="24"/>
                  <w:u w:val="single"/>
                </w:rPr>
                <w:t xml:space="preserve"> </w:t>
              </w:r>
              <w:proofErr w:type="spellStart"/>
              <w:r>
                <w:rPr>
                  <w:color w:val="0000FF"/>
                  <w:sz w:val="24"/>
                  <w:szCs w:val="24"/>
                  <w:u w:val="single"/>
                </w:rPr>
                <w:t>добром</w:t>
              </w:r>
              <w:proofErr w:type="spellEnd"/>
              <w:r>
                <w:rPr>
                  <w:color w:val="0000FF"/>
                  <w:sz w:val="24"/>
                  <w:szCs w:val="24"/>
                  <w:u w:val="single"/>
                </w:rPr>
                <w:t xml:space="preserve"> </w:t>
              </w:r>
              <w:proofErr w:type="spellStart"/>
              <w:r>
                <w:rPr>
                  <w:color w:val="0000FF"/>
                  <w:sz w:val="24"/>
                  <w:szCs w:val="24"/>
                  <w:u w:val="single"/>
                </w:rPr>
                <w:t>праксом</w:t>
              </w:r>
              <w:proofErr w:type="spellEnd"/>
              <w:r>
                <w:rPr>
                  <w:color w:val="0000FF"/>
                  <w:sz w:val="24"/>
                  <w:szCs w:val="24"/>
                  <w:u w:val="single"/>
                </w:rPr>
                <w:t xml:space="preserve"> у </w:t>
              </w:r>
              <w:proofErr w:type="spellStart"/>
              <w:r>
                <w:rPr>
                  <w:color w:val="0000FF"/>
                  <w:sz w:val="24"/>
                  <w:szCs w:val="24"/>
                  <w:u w:val="single"/>
                </w:rPr>
                <w:t>европским</w:t>
              </w:r>
              <w:proofErr w:type="spellEnd"/>
              <w:r>
                <w:rPr>
                  <w:color w:val="0000FF"/>
                  <w:sz w:val="24"/>
                  <w:szCs w:val="24"/>
                  <w:u w:val="single"/>
                </w:rPr>
                <w:t xml:space="preserve"> </w:t>
              </w:r>
              <w:proofErr w:type="spellStart"/>
              <w:r>
                <w:rPr>
                  <w:color w:val="0000FF"/>
                  <w:sz w:val="24"/>
                  <w:szCs w:val="24"/>
                  <w:u w:val="single"/>
                </w:rPr>
                <w:t>ин</w:t>
              </w:r>
              <w:r>
                <w:rPr>
                  <w:color w:val="0000FF"/>
                  <w:sz w:val="24"/>
                  <w:szCs w:val="24"/>
                  <w:u w:val="single"/>
                </w:rPr>
                <w:t>ституцијама</w:t>
              </w:r>
              <w:proofErr w:type="spellEnd"/>
            </w:hyperlink>
          </w:p>
        </w:tc>
      </w:tr>
    </w:tbl>
    <w:p w14:paraId="43A0D561" w14:textId="77777777" w:rsidR="004940B1" w:rsidRDefault="004940B1"/>
    <w:sectPr w:rsidR="004940B1">
      <w:pgSz w:w="11907" w:h="16840"/>
      <w:pgMar w:top="1134" w:right="1134" w:bottom="113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2910F1"/>
    <w:multiLevelType w:val="multilevel"/>
    <w:tmpl w:val="4C0AAB2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5BE70442"/>
    <w:multiLevelType w:val="multilevel"/>
    <w:tmpl w:val="F458929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0B1"/>
    <w:rsid w:val="004940B1"/>
    <w:rsid w:val="004F30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63E43"/>
  <w15:docId w15:val="{93376E46-082D-4874-B70F-F9C8F2F25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F30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30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amstat.org/" TargetMode="External"/><Relationship Id="rId13" Type="http://schemas.openxmlformats.org/officeDocument/2006/relationships/hyperlink" Target="http://www.lse.ac.uk/study-at-lse/Graduate/Degree-programmes-2019/MSc-Data-Science" TargetMode="External"/><Relationship Id="rId18" Type="http://schemas.openxmlformats.org/officeDocument/2006/relationships/hyperlink" Target="http://../ADA%20-%20Submitted%20to%20CAQA/Akreditacija/prilozi/P-6-4%20Preporuke%20ili%20uskladjenost%20sa%20medjunarodnim%20studijskim%20programima.pdf" TargetMode="External"/><Relationship Id="rId3" Type="http://schemas.openxmlformats.org/officeDocument/2006/relationships/settings" Target="settings.xml"/><Relationship Id="rId7" Type="http://schemas.openxmlformats.org/officeDocument/2006/relationships/hyperlink" Target="https://www.datasciencecentral.com/" TargetMode="External"/><Relationship Id="rId12" Type="http://schemas.openxmlformats.org/officeDocument/2006/relationships/hyperlink" Target="https://iriss.stanford.edu/css/certificate" TargetMode="External"/><Relationship Id="rId17" Type="http://schemas.openxmlformats.org/officeDocument/2006/relationships/hyperlink" Target="http://../ADA%20-%20Submitted%20to%20CAQA/Akreditacija/prilozi/P-6-123%20Usaglasenost%20sa%20drugim%20studijskim%20programima.pdf" TargetMode="External"/><Relationship Id="rId2" Type="http://schemas.openxmlformats.org/officeDocument/2006/relationships/styles" Target="styles.xml"/><Relationship Id="rId16" Type="http://schemas.openxmlformats.org/officeDocument/2006/relationships/hyperlink" Target="https://www.kdnuggets.com/2017/12/best-masters-data-science-analytics-europe.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ianalytics.com/" TargetMode="External"/><Relationship Id="rId11" Type="http://schemas.openxmlformats.org/officeDocument/2006/relationships/hyperlink" Target="https://www.stat.berkeley.edu/~nolan/Papers/Data.Science.Guidelines.16.9.25.pdf" TargetMode="External"/><Relationship Id="rId5" Type="http://schemas.openxmlformats.org/officeDocument/2006/relationships/hyperlink" Target="http://www.analytics.uts.edu.au/" TargetMode="External"/><Relationship Id="rId15" Type="http://schemas.openxmlformats.org/officeDocument/2006/relationships/hyperlink" Target="http://eisti.fr/en/international/international-master-big-data" TargetMode="External"/><Relationship Id="rId10" Type="http://schemas.openxmlformats.org/officeDocument/2006/relationships/hyperlink" Target="https://www.datasciencecentral.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dnuggets.com/websites/societies.html" TargetMode="External"/><Relationship Id="rId14" Type="http://schemas.openxmlformats.org/officeDocument/2006/relationships/hyperlink" Target="https://www.epfl.ch/schools/ic/education/master/data-scie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523</Words>
  <Characters>2985</Characters>
  <Application>Microsoft Office Word</Application>
  <DocSecurity>0</DocSecurity>
  <Lines>24</Lines>
  <Paragraphs>7</Paragraphs>
  <ScaleCrop>false</ScaleCrop>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Vladan</cp:lastModifiedBy>
  <cp:revision>2</cp:revision>
  <dcterms:created xsi:type="dcterms:W3CDTF">2019-04-16T12:28:00Z</dcterms:created>
  <dcterms:modified xsi:type="dcterms:W3CDTF">2019-04-16T12:28:00Z</dcterms:modified>
</cp:coreProperties>
</file>